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附件1</w:t>
      </w: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泰安市</w:t>
      </w:r>
      <w:r>
        <w:rPr>
          <w:rFonts w:eastAsia="方正小标宋简体"/>
          <w:color w:val="000000"/>
          <w:sz w:val="44"/>
          <w:szCs w:val="44"/>
        </w:rPr>
        <w:t>新增药学类医疗服务项目价格</w:t>
      </w:r>
    </w:p>
    <w:tbl>
      <w:tblPr>
        <w:tblStyle w:val="6"/>
        <w:tblW w:w="13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485"/>
        <w:gridCol w:w="1424"/>
        <w:gridCol w:w="5408"/>
        <w:gridCol w:w="894"/>
        <w:gridCol w:w="712"/>
        <w:gridCol w:w="878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项目编码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项目名称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项目内涵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除外内容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计价单位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价格（元）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110200007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药学门诊诊察费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具有主管药师及以上专业技术职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务</w:t>
            </w:r>
            <w:r>
              <w:rPr>
                <w:rFonts w:ascii="宋体" w:hAnsi="宋体" w:eastAsia="宋体"/>
                <w:color w:val="000000"/>
                <w:sz w:val="24"/>
              </w:rPr>
              <w:t>任职资格、从事临床药学工作3年及以上；或具有副主任药师及以上专业技术职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务</w:t>
            </w:r>
            <w:r>
              <w:rPr>
                <w:rFonts w:ascii="宋体" w:hAnsi="宋体" w:eastAsia="宋体"/>
                <w:color w:val="000000"/>
                <w:sz w:val="24"/>
              </w:rPr>
              <w:t>任职资格、从事临床药学工作2年及以上的药师，在门诊固定场所为确有需要的患者，开展用药指导、干预或提出用药意见，并有相应记录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患者自愿选择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110200007a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主管药师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110200007b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副主任药师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110200007c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主任药师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110200005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住院诊察费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110200005a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住院诊察费（临床药学）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符合规定资质的临床药师参与临床医师查房，对患者的疾病发展现状、用药情况、检查检验结果等进行综合评估，协同制定个体化药物治疗方案；为住院患者提供用药重整服务；对住院患者治疗的疗效、用药安全性等方面实施药学监护，必要时进行干预，并有相应记录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符合规定资质的临床药师参与临床医师住院巡诊，每日加收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</w:t>
            </w:r>
            <w:r>
              <w:rPr>
                <w:rFonts w:ascii="宋体" w:hAnsi="宋体" w:eastAsia="宋体"/>
                <w:color w:val="auto"/>
                <w:sz w:val="24"/>
              </w:rPr>
              <w:t>元；住院天数≤30天的，加收费用最高不超过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36</w:t>
            </w:r>
            <w:r>
              <w:rPr>
                <w:rFonts w:ascii="宋体" w:hAnsi="宋体" w:eastAsia="宋体"/>
                <w:color w:val="auto"/>
                <w:sz w:val="24"/>
              </w:rPr>
              <w:t>元；住院天数&gt;30天的，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每30天（含）加收不超过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元，</w:t>
            </w:r>
            <w:r>
              <w:rPr>
                <w:rFonts w:ascii="宋体" w:hAnsi="宋体" w:eastAsia="宋体"/>
                <w:color w:val="auto"/>
                <w:sz w:val="24"/>
              </w:rPr>
              <w:t>加收费用最高不超过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120</w:t>
            </w:r>
            <w:r>
              <w:rPr>
                <w:rFonts w:ascii="宋体" w:hAnsi="宋体" w:eastAsia="宋体"/>
                <w:color w:val="auto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111000002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院内会诊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包括临床药学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符合规定资质的药师根据临床科室或医务部门的邀请，出于诊疗需要对患者的药物治疗方案进行优化和药学监护，并有相应记录。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111000002e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主管药师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人次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111000002f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副主任药师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人次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111000002g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主任药师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 w:eastAsia="宋体"/>
                <w:color w:val="auto"/>
                <w:sz w:val="24"/>
              </w:rPr>
              <w:t>人次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ascii="黑体" w:hAnsi="黑体" w:eastAsia="黑体" w:cs="黑体"/>
          <w:color w:val="000000"/>
          <w:szCs w:val="32"/>
        </w:rPr>
      </w:pPr>
    </w:p>
    <w:p>
      <w:pPr>
        <w:rPr>
          <w:rFonts w:hint="eastAsia" w:ascii="黑体" w:hAnsi="黑体" w:eastAsia="黑体" w:cs="黑体"/>
          <w:color w:val="000000"/>
          <w:szCs w:val="32"/>
        </w:rPr>
      </w:pPr>
    </w:p>
    <w:p>
      <w:pPr>
        <w:rPr>
          <w:rFonts w:hint="eastAsia" w:ascii="黑体" w:hAnsi="黑体" w:eastAsia="黑体" w:cs="黑体"/>
          <w:color w:val="000000"/>
          <w:szCs w:val="32"/>
        </w:rPr>
      </w:pPr>
    </w:p>
    <w:p>
      <w:pPr>
        <w:rPr>
          <w:rFonts w:hint="eastAsia" w:ascii="黑体" w:hAnsi="黑体" w:eastAsia="黑体" w:cs="黑体"/>
          <w:color w:val="000000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-142875</wp:posOffset>
              </wp:positionV>
              <wp:extent cx="1057275" cy="3905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30.75pt;width:83.25pt;mso-position-horizontal:left;mso-position-horizontal-relative:margin;z-index:251659264;mso-width-relative:page;mso-height-relative:page;" filled="f" stroked="f" coordsize="21600,21600" o:gfxdata="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4XxV01gAAAAcBAAAPAAAAAAAAAAEAIAAAACIAAABkcnMvZG93bnJl&#10;di54bWxQSwECFAAUAAAACACHTuJAaOaDvzgCAABk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59E654BB"/>
    <w:rsid w:val="29BD1409"/>
    <w:rsid w:val="59E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1035</Characters>
  <Lines>0</Lines>
  <Paragraphs>0</Paragraphs>
  <TotalTime>0</TotalTime>
  <ScaleCrop>false</ScaleCrop>
  <LinksUpToDate>false</LinksUpToDate>
  <CharactersWithSpaces>1035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2024-05-28T08:21:00Z</dcterms:created>
  <dc:creator>小熊饼饼</dc:creator>
  <cp:lastModifiedBy>小熊饼饼</cp:lastModifiedBy>
  <dcterms:modified xsi:type="dcterms:W3CDTF">2024-05-28T08:23:16Z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843CC1BCA3E345B68EB8E85213CEF20E_11</vt:lpwstr>
  </property>
</Properties>
</file>