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1" w:name="_GoBack"/>
      <w:bookmarkStart w:id="0" w:name="RANGE!A2:I9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泰安市跨省直接结算门诊慢性大病病种及支付标准</w:t>
      </w:r>
      <w:bookmarkEnd w:id="0"/>
    </w:p>
    <w:bookmarkEnd w:id="1"/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6"/>
        <w:gridCol w:w="991"/>
        <w:gridCol w:w="1133"/>
        <w:gridCol w:w="1559"/>
        <w:gridCol w:w="853"/>
        <w:gridCol w:w="3118"/>
        <w:gridCol w:w="311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74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疾病编码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国家）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疾病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病种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05" w:type="pct"/>
            <w:gridSpan w:val="3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职工</w:t>
            </w:r>
          </w:p>
        </w:tc>
        <w:tc>
          <w:tcPr>
            <w:tcW w:w="2698" w:type="pct"/>
            <w:gridSpan w:val="3"/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374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年起付线（元）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报销比例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限额（元）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年起付线（元）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报销比例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限额（元）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M03900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高血压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III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门慢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在职职工：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80%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退休职工：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社区（乡镇）定点卫生服务机构：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200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200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一级定点医疗机构：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400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二级定点医疗机构：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400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三级定点医疗机构：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1000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55%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65%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M01600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糖尿病</w:t>
            </w:r>
          </w:p>
        </w:tc>
        <w:tc>
          <w:tcPr>
            <w:tcW w:w="3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门慢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乙类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在职职工：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80%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退休职工：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社区（乡镇）定点卫生服务机构：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200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200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400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400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1000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55%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65%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M00500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恶性肿瘤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门慢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在职职工：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退休职工：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暂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限额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（不区分一档、二档）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社区（乡镇）定点卫生服务机构：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55%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65%                                   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30000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374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M07801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尿毒症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肾透析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门慢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无起付线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在职职工：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退休职工：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暂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限额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无起付线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社区（乡镇）定点卫生服务机构：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55%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65%                                   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年度最高支付限额与住院合并计算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7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M08301                M08302                  M08303                              M08304                        M08305                  M08306              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组织器官移植抗排异治疗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门慢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甲类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在职职工：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退休职工：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暂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限额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（不区分一档、二档）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社区（乡镇）定点卫生服务机构：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85%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70%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75%                         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三级定点医疗机构：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55%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65%                                   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30000                                                                                                        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二档居民：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40000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134" w:right="1134" w:bottom="1134" w:left="1134" w:header="851" w:footer="1247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3BB40420"/>
    <w:rsid w:val="3BB4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2022-12-09T07:02:00Z</dcterms:created>
  <dc:creator>小熊饼饼</dc:creator>
  <cp:lastModifiedBy>小熊饼饼</cp:lastModifiedBy>
  <dcterms:modified xsi:type="dcterms:W3CDTF">2022-12-09T07:03:05Z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135352317A00421999126A67E2AA65A9</vt:lpwstr>
  </property>
</Properties>
</file>